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8CE0F" w14:textId="77777777" w:rsidR="003615F9" w:rsidRDefault="003615F9">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3615F9" w14:paraId="5F98CE11" w14:textId="77777777">
        <w:tc>
          <w:tcPr>
            <w:tcW w:w="9026" w:type="dxa"/>
            <w:shd w:val="clear" w:color="auto" w:fill="auto"/>
            <w:tcMar>
              <w:top w:w="100" w:type="dxa"/>
              <w:left w:w="100" w:type="dxa"/>
              <w:bottom w:w="100" w:type="dxa"/>
              <w:right w:w="100" w:type="dxa"/>
            </w:tcMar>
          </w:tcPr>
          <w:p w14:paraId="5F98CE10" w14:textId="77777777" w:rsidR="003615F9" w:rsidRDefault="00154536">
            <w:pPr>
              <w:widowControl w:val="0"/>
              <w:spacing w:after="0" w:line="240" w:lineRule="auto"/>
              <w:rPr>
                <w:rFonts w:ascii="Arial" w:eastAsia="Arial" w:hAnsi="Arial" w:cs="Arial"/>
                <w:b/>
                <w:highlight w:val="cyan"/>
              </w:rPr>
            </w:pPr>
            <w:r w:rsidRPr="00154536">
              <w:rPr>
                <w:rFonts w:ascii="Arial" w:eastAsia="Arial" w:hAnsi="Arial" w:cs="Arial"/>
                <w:b/>
              </w:rPr>
              <w:t>PLEASE RETAIN A COPY OF THIS SCHEDULE AS THIS FORMS PART OF YOUR CALL-OFF CONTRACT</w:t>
            </w:r>
          </w:p>
        </w:tc>
      </w:tr>
    </w:tbl>
    <w:p w14:paraId="5F98CE12" w14:textId="77777777" w:rsidR="003615F9" w:rsidRDefault="003615F9">
      <w:pPr>
        <w:spacing w:after="240" w:line="240" w:lineRule="auto"/>
        <w:jc w:val="both"/>
        <w:rPr>
          <w:rFonts w:ascii="Arial" w:eastAsia="Arial" w:hAnsi="Arial" w:cs="Arial"/>
          <w:b/>
          <w:sz w:val="36"/>
          <w:szCs w:val="36"/>
        </w:rPr>
      </w:pPr>
    </w:p>
    <w:p w14:paraId="5F98CE13" w14:textId="77777777" w:rsidR="003615F9" w:rsidRDefault="00154536">
      <w:pPr>
        <w:spacing w:after="240" w:line="240" w:lineRule="auto"/>
        <w:ind w:left="142" w:right="394"/>
        <w:rPr>
          <w:rFonts w:ascii="Arial" w:eastAsia="Arial" w:hAnsi="Arial" w:cs="Arial"/>
          <w:b/>
          <w:sz w:val="36"/>
          <w:szCs w:val="36"/>
        </w:rPr>
      </w:pPr>
      <w:bookmarkStart w:id="0" w:name="_heading=h.m4t57mntg6uu" w:colFirst="0" w:colLast="0"/>
      <w:bookmarkEnd w:id="0"/>
      <w:r>
        <w:rPr>
          <w:rFonts w:ascii="Arial" w:eastAsia="Arial" w:hAnsi="Arial" w:cs="Arial"/>
          <w:b/>
          <w:sz w:val="36"/>
          <w:szCs w:val="36"/>
        </w:rPr>
        <w:t>Call-Off Schedule 23 (HMRC Terms)</w:t>
      </w:r>
    </w:p>
    <w:p w14:paraId="5F98CE14"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5F98CE15" w14:textId="77777777" w:rsidR="003615F9" w:rsidRDefault="00154536">
      <w:pPr>
        <w:keepNext/>
        <w:numPr>
          <w:ilvl w:val="1"/>
          <w:numId w:val="10"/>
        </w:numPr>
        <w:pBdr>
          <w:top w:val="nil"/>
          <w:left w:val="nil"/>
          <w:bottom w:val="nil"/>
          <w:right w:val="nil"/>
          <w:between w:val="nil"/>
        </w:pBdr>
        <w:tabs>
          <w:tab w:val="left" w:pos="993"/>
        </w:tabs>
        <w:spacing w:after="24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W w:w="8918" w:type="dxa"/>
        <w:tblInd w:w="108" w:type="dxa"/>
        <w:tblLayout w:type="fixed"/>
        <w:tblCellMar>
          <w:left w:w="115" w:type="dxa"/>
          <w:right w:w="115" w:type="dxa"/>
        </w:tblCellMar>
        <w:tblLook w:val="0000" w:firstRow="0" w:lastRow="0" w:firstColumn="0" w:lastColumn="0" w:noHBand="0" w:noVBand="0"/>
      </w:tblPr>
      <w:tblGrid>
        <w:gridCol w:w="2292"/>
        <w:gridCol w:w="6626"/>
      </w:tblGrid>
      <w:tr w:rsidR="003615F9" w14:paraId="5F98CE19" w14:textId="77777777">
        <w:tc>
          <w:tcPr>
            <w:tcW w:w="2292" w:type="dxa"/>
          </w:tcPr>
          <w:p w14:paraId="5F98CE16"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14:paraId="5F98CE17" w14:textId="77777777" w:rsidR="003615F9" w:rsidRDefault="00154536">
            <w:pPr>
              <w:spacing w:after="0" w:line="240" w:lineRule="auto"/>
              <w:jc w:val="both"/>
              <w:rPr>
                <w:rFonts w:ascii="Arial" w:eastAsia="Arial" w:hAnsi="Arial" w:cs="Arial"/>
                <w:sz w:val="24"/>
                <w:szCs w:val="24"/>
              </w:rPr>
            </w:pPr>
            <w:r>
              <w:rPr>
                <w:rFonts w:ascii="Arial" w:eastAsia="Arial" w:hAnsi="Arial" w:cs="Arial"/>
                <w:sz w:val="24"/>
                <w:szCs w:val="24"/>
              </w:rPr>
              <w:t>in relation to a company, entity or other person, the Affiliates of that company, entity or other person or any other person associated with such company, entity or other person;</w:t>
            </w:r>
          </w:p>
          <w:p w14:paraId="5F98CE18" w14:textId="77777777" w:rsidR="003615F9" w:rsidRDefault="003615F9">
            <w:pPr>
              <w:spacing w:after="240" w:line="240" w:lineRule="auto"/>
              <w:jc w:val="both"/>
              <w:rPr>
                <w:rFonts w:ascii="Arial" w:eastAsia="Arial" w:hAnsi="Arial" w:cs="Arial"/>
                <w:sz w:val="24"/>
                <w:szCs w:val="24"/>
              </w:rPr>
            </w:pPr>
          </w:p>
        </w:tc>
      </w:tr>
      <w:tr w:rsidR="003615F9" w14:paraId="5F98CE1D" w14:textId="77777777">
        <w:tc>
          <w:tcPr>
            <w:tcW w:w="2292" w:type="dxa"/>
          </w:tcPr>
          <w:p w14:paraId="5F98CE1A"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“Control”</w:t>
            </w:r>
          </w:p>
        </w:tc>
        <w:tc>
          <w:tcPr>
            <w:tcW w:w="6626" w:type="dxa"/>
          </w:tcPr>
          <w:p w14:paraId="5F98CE1B" w14:textId="77777777" w:rsidR="003615F9" w:rsidRDefault="00154536">
            <w:pPr>
              <w:spacing w:after="0" w:line="240" w:lineRule="auto"/>
              <w:jc w:val="both"/>
              <w:rPr>
                <w:rFonts w:ascii="Arial" w:eastAsia="Arial" w:hAnsi="Arial" w:cs="Arial"/>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5F98CE1C" w14:textId="77777777" w:rsidR="003615F9" w:rsidRDefault="003615F9">
            <w:pPr>
              <w:spacing w:after="240" w:line="240" w:lineRule="auto"/>
              <w:jc w:val="both"/>
              <w:rPr>
                <w:rFonts w:ascii="Arial" w:eastAsia="Arial" w:hAnsi="Arial" w:cs="Arial"/>
                <w:sz w:val="24"/>
                <w:szCs w:val="24"/>
              </w:rPr>
            </w:pPr>
          </w:p>
        </w:tc>
      </w:tr>
      <w:tr w:rsidR="003615F9" w14:paraId="5F98CE25" w14:textId="77777777">
        <w:tc>
          <w:tcPr>
            <w:tcW w:w="2292" w:type="dxa"/>
          </w:tcPr>
          <w:p w14:paraId="5F98CE1E" w14:textId="55AA37F0" w:rsidR="00AB4941"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“Prohibited Transaction”</w:t>
            </w:r>
          </w:p>
          <w:p w14:paraId="330E3179" w14:textId="77777777" w:rsidR="00AB4941" w:rsidRPr="00AB4941" w:rsidRDefault="00AB4941" w:rsidP="00AB4941">
            <w:pPr>
              <w:rPr>
                <w:rFonts w:ascii="Arial" w:eastAsia="Arial" w:hAnsi="Arial" w:cs="Arial"/>
                <w:sz w:val="24"/>
                <w:szCs w:val="24"/>
              </w:rPr>
            </w:pPr>
          </w:p>
          <w:p w14:paraId="2AFACE92" w14:textId="77777777" w:rsidR="00AB4941" w:rsidRPr="00AB4941" w:rsidRDefault="00AB4941" w:rsidP="00AB4941">
            <w:pPr>
              <w:rPr>
                <w:rFonts w:ascii="Arial" w:eastAsia="Arial" w:hAnsi="Arial" w:cs="Arial"/>
                <w:sz w:val="24"/>
                <w:szCs w:val="24"/>
              </w:rPr>
            </w:pPr>
          </w:p>
          <w:p w14:paraId="38C0410B" w14:textId="77777777" w:rsidR="00AB4941" w:rsidRPr="00AB4941" w:rsidRDefault="00AB4941" w:rsidP="00AB4941">
            <w:pPr>
              <w:rPr>
                <w:rFonts w:ascii="Arial" w:eastAsia="Arial" w:hAnsi="Arial" w:cs="Arial"/>
                <w:sz w:val="24"/>
                <w:szCs w:val="24"/>
              </w:rPr>
            </w:pPr>
          </w:p>
          <w:p w14:paraId="105E3BE8" w14:textId="77777777" w:rsidR="00AB4941" w:rsidRPr="00AB4941" w:rsidRDefault="00AB4941" w:rsidP="00AB4941">
            <w:pPr>
              <w:rPr>
                <w:rFonts w:ascii="Arial" w:eastAsia="Arial" w:hAnsi="Arial" w:cs="Arial"/>
                <w:sz w:val="24"/>
                <w:szCs w:val="24"/>
              </w:rPr>
            </w:pPr>
          </w:p>
          <w:p w14:paraId="77473606" w14:textId="77777777" w:rsidR="00AB4941" w:rsidRPr="00AB4941" w:rsidRDefault="00AB4941" w:rsidP="00AB4941">
            <w:pPr>
              <w:rPr>
                <w:rFonts w:ascii="Arial" w:eastAsia="Arial" w:hAnsi="Arial" w:cs="Arial"/>
                <w:sz w:val="24"/>
                <w:szCs w:val="24"/>
              </w:rPr>
            </w:pPr>
          </w:p>
          <w:p w14:paraId="0449E763" w14:textId="77777777" w:rsidR="00AB4941" w:rsidRPr="00AB4941" w:rsidRDefault="00AB4941" w:rsidP="00AB4941">
            <w:pPr>
              <w:rPr>
                <w:rFonts w:ascii="Arial" w:eastAsia="Arial" w:hAnsi="Arial" w:cs="Arial"/>
                <w:sz w:val="24"/>
                <w:szCs w:val="24"/>
              </w:rPr>
            </w:pPr>
          </w:p>
          <w:p w14:paraId="7E30D9A9" w14:textId="0DD2EAEF" w:rsidR="00AB4941" w:rsidRDefault="00AB4941" w:rsidP="00AB4941">
            <w:pPr>
              <w:rPr>
                <w:rFonts w:ascii="Arial" w:eastAsia="Arial" w:hAnsi="Arial" w:cs="Arial"/>
                <w:sz w:val="24"/>
                <w:szCs w:val="24"/>
              </w:rPr>
            </w:pPr>
          </w:p>
          <w:p w14:paraId="6F8B7BBC" w14:textId="10774CB0" w:rsidR="00AB4941" w:rsidRDefault="00AB4941" w:rsidP="00AB4941">
            <w:pPr>
              <w:rPr>
                <w:rFonts w:ascii="Arial" w:eastAsia="Arial" w:hAnsi="Arial" w:cs="Arial"/>
                <w:sz w:val="24"/>
                <w:szCs w:val="24"/>
              </w:rPr>
            </w:pPr>
          </w:p>
          <w:p w14:paraId="4BC5C2D2" w14:textId="77777777" w:rsidR="003615F9" w:rsidRPr="00AB4941" w:rsidRDefault="003615F9" w:rsidP="00AB4941">
            <w:pPr>
              <w:rPr>
                <w:rFonts w:ascii="Arial" w:eastAsia="Arial" w:hAnsi="Arial" w:cs="Arial"/>
                <w:sz w:val="24"/>
                <w:szCs w:val="24"/>
              </w:rPr>
            </w:pPr>
          </w:p>
        </w:tc>
        <w:tc>
          <w:tcPr>
            <w:tcW w:w="6626" w:type="dxa"/>
          </w:tcPr>
          <w:p w14:paraId="5F98CE1F" w14:textId="77777777" w:rsidR="003615F9" w:rsidRDefault="00154536">
            <w:pPr>
              <w:numPr>
                <w:ilvl w:val="0"/>
                <w:numId w:val="1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14:paraId="5F98CE20" w14:textId="77777777" w:rsidR="003615F9" w:rsidRDefault="003615F9">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14:paraId="5F98CE21" w14:textId="77777777" w:rsidR="003615F9" w:rsidRDefault="00154536">
            <w:pPr>
              <w:numPr>
                <w:ilvl w:val="0"/>
                <w:numId w:val="1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Supplier under or pursuant to the applicable Key Subcontract,</w:t>
            </w:r>
          </w:p>
          <w:p w14:paraId="5F98CE22" w14:textId="77777777" w:rsidR="003615F9" w:rsidRDefault="003615F9">
            <w:pPr>
              <w:pBdr>
                <w:top w:val="nil"/>
                <w:left w:val="nil"/>
                <w:bottom w:val="nil"/>
                <w:right w:val="nil"/>
                <w:between w:val="nil"/>
              </w:pBdr>
              <w:ind w:left="720"/>
              <w:rPr>
                <w:rFonts w:ascii="Arial" w:eastAsia="Arial" w:hAnsi="Arial" w:cs="Arial"/>
                <w:color w:val="000000"/>
                <w:sz w:val="24"/>
                <w:szCs w:val="24"/>
              </w:rPr>
            </w:pPr>
          </w:p>
          <w:p w14:paraId="5F98CE23"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5F98CE24" w14:textId="77777777" w:rsidR="003615F9" w:rsidRDefault="003615F9">
            <w:pPr>
              <w:spacing w:after="240" w:line="240" w:lineRule="auto"/>
              <w:jc w:val="both"/>
              <w:rPr>
                <w:rFonts w:ascii="Arial" w:eastAsia="Arial" w:hAnsi="Arial" w:cs="Arial"/>
                <w:sz w:val="24"/>
                <w:szCs w:val="24"/>
              </w:rPr>
            </w:pPr>
          </w:p>
        </w:tc>
      </w:tr>
      <w:tr w:rsidR="003615F9" w14:paraId="5F98CE28" w14:textId="77777777">
        <w:tc>
          <w:tcPr>
            <w:tcW w:w="2292" w:type="dxa"/>
          </w:tcPr>
          <w:p w14:paraId="5F98CE26"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lastRenderedPageBreak/>
              <w:t>“Purchase Order Number” </w:t>
            </w:r>
          </w:p>
        </w:tc>
        <w:tc>
          <w:tcPr>
            <w:tcW w:w="6626" w:type="dxa"/>
          </w:tcPr>
          <w:p w14:paraId="5F98CE27" w14:textId="77777777" w:rsidR="003615F9" w:rsidRDefault="00154536">
            <w:pPr>
              <w:spacing w:after="240" w:line="240" w:lineRule="auto"/>
              <w:rPr>
                <w:rFonts w:ascii="Arial" w:eastAsia="Arial" w:hAnsi="Arial" w:cs="Arial"/>
                <w:sz w:val="24"/>
                <w:szCs w:val="24"/>
              </w:rPr>
            </w:pPr>
            <w:r>
              <w:rPr>
                <w:rFonts w:ascii="Arial" w:eastAsia="Arial" w:hAnsi="Arial" w:cs="Arial"/>
                <w:sz w:val="24"/>
                <w:szCs w:val="24"/>
              </w:rPr>
              <w:t>the Buyer’s unique number relating to the supply of the Deliverables;  </w:t>
            </w:r>
          </w:p>
        </w:tc>
      </w:tr>
      <w:tr w:rsidR="003615F9" w14:paraId="5F98CE2B" w14:textId="77777777">
        <w:tc>
          <w:tcPr>
            <w:tcW w:w="2292" w:type="dxa"/>
          </w:tcPr>
          <w:p w14:paraId="5F98CE29"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“Supporting Documentation”</w:t>
            </w:r>
          </w:p>
        </w:tc>
        <w:tc>
          <w:tcPr>
            <w:tcW w:w="6626" w:type="dxa"/>
          </w:tcPr>
          <w:p w14:paraId="5F98CE2A" w14:textId="77777777" w:rsidR="003615F9" w:rsidRDefault="00154536">
            <w:pPr>
              <w:spacing w:after="240" w:line="240" w:lineRule="auto"/>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verify the accuracy of any invoice; and</w:t>
            </w:r>
          </w:p>
        </w:tc>
      </w:tr>
      <w:tr w:rsidR="003615F9" w14:paraId="5F98CE32" w14:textId="77777777">
        <w:tc>
          <w:tcPr>
            <w:tcW w:w="2292" w:type="dxa"/>
          </w:tcPr>
          <w:p w14:paraId="5F98CE2C" w14:textId="77777777" w:rsidR="003615F9" w:rsidRDefault="00154536">
            <w:pPr>
              <w:spacing w:after="240" w:line="240" w:lineRule="auto"/>
              <w:ind w:left="209"/>
              <w:rPr>
                <w:rFonts w:ascii="Arial" w:eastAsia="Arial" w:hAnsi="Arial" w:cs="Arial"/>
                <w:b/>
                <w:sz w:val="24"/>
                <w:szCs w:val="24"/>
              </w:rPr>
            </w:pPr>
            <w:bookmarkStart w:id="1" w:name="_GoBack"/>
            <w:r>
              <w:rPr>
                <w:rFonts w:ascii="Arial" w:eastAsia="Arial" w:hAnsi="Arial" w:cs="Arial"/>
                <w:b/>
                <w:sz w:val="24"/>
                <w:szCs w:val="24"/>
              </w:rPr>
              <w:t>“Tax Compliance Failure”</w:t>
            </w:r>
          </w:p>
          <w:p w14:paraId="5F98CE2D" w14:textId="77777777" w:rsidR="003615F9" w:rsidRDefault="003615F9">
            <w:pPr>
              <w:spacing w:after="240" w:line="240" w:lineRule="auto"/>
              <w:ind w:left="209"/>
              <w:rPr>
                <w:rFonts w:ascii="Arial" w:eastAsia="Arial" w:hAnsi="Arial" w:cs="Arial"/>
                <w:b/>
                <w:sz w:val="24"/>
                <w:szCs w:val="24"/>
              </w:rPr>
            </w:pPr>
          </w:p>
        </w:tc>
        <w:tc>
          <w:tcPr>
            <w:tcW w:w="6626" w:type="dxa"/>
          </w:tcPr>
          <w:p w14:paraId="5F98CE2E" w14:textId="77777777" w:rsidR="003615F9" w:rsidRDefault="00154536">
            <w:pPr>
              <w:tabs>
                <w:tab w:val="left" w:pos="-75"/>
              </w:tabs>
              <w:spacing w:after="240" w:line="240" w:lineRule="auto"/>
              <w:jc w:val="both"/>
              <w:rPr>
                <w:rFonts w:ascii="Arial" w:eastAsia="Arial" w:hAnsi="Arial" w:cs="Arial"/>
                <w:sz w:val="24"/>
                <w:szCs w:val="24"/>
              </w:rPr>
            </w:pPr>
            <w:r>
              <w:rPr>
                <w:rFonts w:ascii="Arial" w:eastAsia="Arial" w:hAnsi="Arial" w:cs="Arial"/>
                <w:sz w:val="24"/>
                <w:szCs w:val="24"/>
              </w:rPr>
              <w:t>where an entity or person under consideration meets all 3 conditions contained in the relevant excerpt from HMRC’s “Test for Tax Non-Compliance”, as set out in Annex 1 (as amended and updated from time to time), where:</w:t>
            </w:r>
          </w:p>
          <w:p w14:paraId="5F98CE2F" w14:textId="77777777" w:rsidR="003615F9" w:rsidRDefault="00154536">
            <w:pPr>
              <w:numPr>
                <w:ilvl w:val="0"/>
                <w:numId w:val="17"/>
              </w:numPr>
              <w:pBdr>
                <w:top w:val="nil"/>
                <w:left w:val="nil"/>
                <w:bottom w:val="nil"/>
                <w:right w:val="nil"/>
                <w:between w:val="nil"/>
              </w:pBdr>
              <w:tabs>
                <w:tab w:val="left" w:pos="-7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Supplier or any agent, supplier or Subcontractor of the Supplier requested to be replaced pursuant to Paragraph 5.3; and </w:t>
            </w:r>
          </w:p>
          <w:p w14:paraId="5F98CE30" w14:textId="77777777" w:rsidR="003615F9" w:rsidRDefault="003615F9">
            <w:pPr>
              <w:pBdr>
                <w:top w:val="nil"/>
                <w:left w:val="nil"/>
                <w:bottom w:val="nil"/>
                <w:right w:val="nil"/>
                <w:between w:val="nil"/>
              </w:pBdr>
              <w:spacing w:after="0" w:line="240" w:lineRule="auto"/>
              <w:ind w:left="405"/>
              <w:rPr>
                <w:rFonts w:ascii="Arial" w:eastAsia="Arial" w:hAnsi="Arial" w:cs="Arial"/>
                <w:color w:val="000000"/>
                <w:sz w:val="24"/>
                <w:szCs w:val="24"/>
              </w:rPr>
            </w:pPr>
          </w:p>
          <w:p w14:paraId="5F98CE31" w14:textId="77777777" w:rsidR="003615F9" w:rsidRDefault="00154536">
            <w:pPr>
              <w:numPr>
                <w:ilvl w:val="0"/>
                <w:numId w:val="17"/>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any “Essential Subcontractor” means any Key Subcontractor.</w:t>
            </w:r>
          </w:p>
        </w:tc>
      </w:tr>
    </w:tbl>
    <w:p w14:paraId="5F98CE33"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bookmarkStart w:id="2" w:name="_heading=h.30j0zll" w:colFirst="0" w:colLast="0"/>
      <w:bookmarkEnd w:id="2"/>
      <w:bookmarkEnd w:id="1"/>
      <w:r>
        <w:rPr>
          <w:rFonts w:ascii="Arial" w:eastAsia="Arial" w:hAnsi="Arial" w:cs="Arial"/>
          <w:b/>
          <w:color w:val="000000"/>
          <w:sz w:val="24"/>
          <w:szCs w:val="24"/>
        </w:rPr>
        <w:t>Exclusion of certain Core Terms and terms of Schedules</w:t>
      </w:r>
    </w:p>
    <w:p w14:paraId="5F98CE34" w14:textId="77777777" w:rsidR="003615F9" w:rsidRDefault="00154536">
      <w:pPr>
        <w:pStyle w:val="Heading2"/>
        <w:keepNext w:val="0"/>
        <w:keepLines w:val="0"/>
        <w:numPr>
          <w:ilvl w:val="1"/>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Core Terms are modified in respect of that Call-Off Contract (but are not modified in respect of the Framework Contract):</w:t>
      </w:r>
    </w:p>
    <w:p w14:paraId="5F98CE35" w14:textId="77777777" w:rsidR="003615F9" w:rsidRDefault="003615F9">
      <w:pPr>
        <w:spacing w:after="0"/>
      </w:pPr>
    </w:p>
    <w:p w14:paraId="5F98CE36" w14:textId="77777777" w:rsidR="003615F9" w:rsidRDefault="00154536">
      <w:pPr>
        <w:pStyle w:val="Heading2"/>
        <w:keepNext w:val="0"/>
        <w:keepLines w:val="0"/>
        <w:numPr>
          <w:ilvl w:val="2"/>
          <w:numId w:val="10"/>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Clauses 31.1, 31.2, 31.3 and 31.4(d) of the Core Terms do not apply to that Call-Off Contract, but for the avoidance of doubt, the remainder of Clause 31.4 of the Core Terms shall continue to apply to the Call-Off Contract; and</w:t>
      </w:r>
    </w:p>
    <w:p w14:paraId="5F98CE37" w14:textId="77777777" w:rsidR="003615F9" w:rsidRDefault="00154536">
      <w:pPr>
        <w:pStyle w:val="Heading2"/>
        <w:keepNext w:val="0"/>
        <w:keepLines w:val="0"/>
        <w:numPr>
          <w:ilvl w:val="2"/>
          <w:numId w:val="10"/>
        </w:numPr>
        <w:spacing w:before="0" w:after="240" w:line="240" w:lineRule="auto"/>
        <w:jc w:val="both"/>
      </w:pPr>
      <w:r>
        <w:rPr>
          <w:rFonts w:ascii="Arial" w:eastAsia="Arial" w:hAnsi="Arial" w:cs="Arial"/>
          <w:color w:val="000000"/>
          <w:sz w:val="24"/>
          <w:szCs w:val="24"/>
        </w:rPr>
        <w:t>Clause 7.2 of the Core Terms does not apply to that Call-Off Contract.</w:t>
      </w:r>
    </w:p>
    <w:p w14:paraId="5F98CE38" w14:textId="77777777" w:rsidR="003615F9" w:rsidRDefault="003615F9"/>
    <w:p w14:paraId="5F98CE39" w14:textId="77777777" w:rsidR="003615F9" w:rsidRDefault="00154536">
      <w:pPr>
        <w:pStyle w:val="Heading2"/>
        <w:keepNext w:val="0"/>
        <w:keepLines w:val="0"/>
        <w:numPr>
          <w:ilvl w:val="1"/>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Joint Schedules are modified in respect of that Call-Off Contract (but are not disapplied in respect of the Framework Contract):</w:t>
      </w:r>
    </w:p>
    <w:p w14:paraId="5F98CE3A" w14:textId="77777777" w:rsidR="003615F9" w:rsidRDefault="003615F9"/>
    <w:p w14:paraId="5F98CE3B" w14:textId="77777777" w:rsidR="003615F9" w:rsidRDefault="00154536">
      <w:pPr>
        <w:pStyle w:val="Heading2"/>
        <w:keepNext w:val="0"/>
        <w:keepLines w:val="0"/>
        <w:numPr>
          <w:ilvl w:val="2"/>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The definition of “Occasion of Tax Non-Compliance” contained in Joint Schedule 1 (Definitions) does not apply to that Call-Off Contract; and</w:t>
      </w:r>
    </w:p>
    <w:p w14:paraId="5F98CE3C" w14:textId="77777777" w:rsidR="003615F9" w:rsidRDefault="003615F9"/>
    <w:p w14:paraId="5F98CE3D" w14:textId="77777777" w:rsidR="003615F9" w:rsidRDefault="00154536">
      <w:pPr>
        <w:pStyle w:val="Heading2"/>
        <w:keepNext w:val="0"/>
        <w:keepLines w:val="0"/>
        <w:numPr>
          <w:ilvl w:val="2"/>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paragraph 5(d) of Joint Schedule 11 (Processing Data) does not apply to that Call-Off Contract.</w:t>
      </w:r>
    </w:p>
    <w:p w14:paraId="5F98CE3E" w14:textId="77777777" w:rsidR="003615F9" w:rsidRDefault="003615F9"/>
    <w:p w14:paraId="5F98CE3F"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14:paraId="5F98CE40" w14:textId="77777777" w:rsidR="003615F9" w:rsidRDefault="00154536">
      <w:pPr>
        <w:pStyle w:val="Heading2"/>
        <w:keepNext w:val="0"/>
        <w:keepLines w:val="0"/>
        <w:numPr>
          <w:ilvl w:val="1"/>
          <w:numId w:val="10"/>
        </w:numPr>
        <w:spacing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 xml:space="preserve">The Supplier shall invoice the Buyer as specified in Clause 4 of the Core Terms as modified by any Framework Special Terms or any Call-Off Special Terms. </w:t>
      </w:r>
    </w:p>
    <w:p w14:paraId="5F98CE41" w14:textId="77777777" w:rsidR="003615F9" w:rsidRDefault="003615F9"/>
    <w:p w14:paraId="5F98CE42" w14:textId="77777777" w:rsidR="003615F9" w:rsidRDefault="00154536">
      <w:pPr>
        <w:pStyle w:val="Heading2"/>
        <w:keepNext w:val="0"/>
        <w:keepLines w:val="0"/>
        <w:numPr>
          <w:ilvl w:val="1"/>
          <w:numId w:val="10"/>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14:paraId="5F98CE43" w14:textId="77777777" w:rsidR="003615F9" w:rsidRDefault="00154536">
      <w:pPr>
        <w:pStyle w:val="Heading2"/>
        <w:keepNext w:val="0"/>
        <w:keepLines w:val="0"/>
        <w:numPr>
          <w:ilvl w:val="2"/>
          <w:numId w:val="10"/>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does so at its own risk; and</w:t>
      </w:r>
    </w:p>
    <w:p w14:paraId="5F98CE44"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the Buyer shall not be obliged to pay any invoice without a valid Purchase Order Number having been provided to the Supplier.</w:t>
      </w:r>
    </w:p>
    <w:p w14:paraId="5F98CE45" w14:textId="77777777" w:rsidR="003615F9" w:rsidRDefault="00154536">
      <w:pPr>
        <w:pStyle w:val="Heading2"/>
        <w:keepNext w:val="0"/>
        <w:keepLines w:val="0"/>
        <w:numPr>
          <w:ilvl w:val="1"/>
          <w:numId w:val="10"/>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Supplier shall submit each invoice and any Supporting Documentation required in accordance with Clause 4 of the Core Terms and any applicable Framework Special Term or Call-Off Special Term, as directed by the Buyer from time to time, either: </w:t>
      </w:r>
    </w:p>
    <w:p w14:paraId="5F98CE46"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via the Buyer ’s electronic transaction system as an Electronic Invoice; or </w:t>
      </w:r>
    </w:p>
    <w:p w14:paraId="5F98CE47"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other person notified to the Supplier in writing by the Buyer) by email in pdf format or, if agreed with the Buyer, in hard copy by post.</w:t>
      </w:r>
    </w:p>
    <w:p w14:paraId="5F98CE48"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Warranties</w:t>
      </w:r>
    </w:p>
    <w:p w14:paraId="5F98CE49"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represents and warrants that:</w:t>
      </w:r>
    </w:p>
    <w:p w14:paraId="5F98CE4A"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4" w:name="_heading=h.3znysh7" w:colFirst="0" w:colLast="0"/>
      <w:bookmarkEnd w:id="4"/>
      <w:r>
        <w:rPr>
          <w:rFonts w:ascii="Arial" w:eastAsia="Arial" w:hAnsi="Arial" w:cs="Arial"/>
          <w:color w:val="000000"/>
          <w:sz w:val="24"/>
          <w:szCs w:val="24"/>
        </w:rPr>
        <w:t>in the three years prior to the Effective Date, it has complied with all applicable Law related to Tax in the United Kingdom and in the jurisdiction in which it is established;</w:t>
      </w:r>
    </w:p>
    <w:p w14:paraId="5F98CE4B"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5" w:name="_heading=h.2et92p0" w:colFirst="0" w:colLast="0"/>
      <w:bookmarkEnd w:id="5"/>
      <w:r>
        <w:rPr>
          <w:rFonts w:ascii="Arial" w:eastAsia="Arial" w:hAnsi="Arial" w:cs="Arial"/>
          <w:color w:val="000000"/>
          <w:sz w:val="24"/>
          <w:szCs w:val="24"/>
        </w:rPr>
        <w:t>it has notified the Buyer in writing of any Tax Compliance Failure it is involved in; and</w:t>
      </w:r>
    </w:p>
    <w:p w14:paraId="5F98CE4C"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no proceedings or other steps have been taken (nor, to the best of the Supplier’s knowledge, are threatened) for:</w:t>
      </w:r>
    </w:p>
    <w:p w14:paraId="5F98CE4D"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14:paraId="5F98CE4E"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the Supplier’s dissolution; or</w:t>
      </w:r>
    </w:p>
    <w:p w14:paraId="5F98CE4F"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administrator or similar officer in relation to any of the Supplier’s assets or revenue,</w:t>
      </w:r>
    </w:p>
    <w:p w14:paraId="5F98CE50" w14:textId="77777777" w:rsidR="003615F9" w:rsidRDefault="00154536">
      <w:pPr>
        <w:pStyle w:val="Heading2"/>
        <w:keepNext w:val="0"/>
        <w:keepLines w:val="0"/>
        <w:spacing w:before="0" w:after="240" w:line="240" w:lineRule="auto"/>
        <w:ind w:left="1440"/>
        <w:jc w:val="both"/>
        <w:rPr>
          <w:rFonts w:ascii="Arial" w:eastAsia="Arial" w:hAnsi="Arial" w:cs="Arial"/>
          <w:color w:val="000000"/>
          <w:sz w:val="24"/>
          <w:szCs w:val="24"/>
        </w:rPr>
      </w:pPr>
      <w:r>
        <w:rPr>
          <w:rFonts w:ascii="Arial" w:eastAsia="Arial" w:hAnsi="Arial" w:cs="Arial"/>
          <w:color w:val="000000"/>
          <w:sz w:val="24"/>
          <w:szCs w:val="24"/>
        </w:rPr>
        <w:lastRenderedPageBreak/>
        <w:t>and the Supplier has notified the Buyer of any profit warnings it has issued in the three years prior to the Effective Date.</w:t>
      </w:r>
    </w:p>
    <w:p w14:paraId="5F98CE51"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p>
    <w:p w14:paraId="5F98CE52"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p>
    <w:p w14:paraId="5F98CE53"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Promoting Tax Compliance</w:t>
      </w:r>
    </w:p>
    <w:p w14:paraId="5F98CE54"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7" w:name="_heading=h.3dy6vkm" w:colFirst="0" w:colLast="0"/>
      <w:bookmarkEnd w:id="7"/>
      <w:r>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14:paraId="5F98CE55"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8" w:name="_heading=h.1t3h5sf" w:colFirst="0" w:colLast="0"/>
      <w:bookmarkEnd w:id="8"/>
      <w:r>
        <w:rPr>
          <w:rFonts w:ascii="Arial" w:eastAsia="Arial" w:hAnsi="Arial" w:cs="Arial"/>
          <w:color w:val="000000"/>
          <w:sz w:val="24"/>
          <w:szCs w:val="24"/>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p>
    <w:p w14:paraId="5F98CE56" w14:textId="77777777" w:rsidR="003615F9" w:rsidRDefault="00154536">
      <w:pPr>
        <w:pStyle w:val="Heading2"/>
        <w:keepNext w:val="0"/>
        <w:keepLines w:val="0"/>
        <w:numPr>
          <w:ilvl w:val="1"/>
          <w:numId w:val="10"/>
        </w:numPr>
        <w:spacing w:after="240" w:line="240" w:lineRule="auto"/>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Upon a request by the Buyer, the Supplier shall not contract, or will cease to contract, with any agent, supplier or Subcontractor of the Supplier engaged in supplying Deliverables under the Contract.  </w:t>
      </w:r>
    </w:p>
    <w:p w14:paraId="5F98CE57"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0" w:name="_heading=h.2s8eyo1" w:colFirst="0" w:colLast="0"/>
      <w:bookmarkEnd w:id="10"/>
      <w:r>
        <w:rPr>
          <w:rFonts w:ascii="Arial" w:eastAsia="Arial" w:hAnsi="Arial" w:cs="Arial"/>
          <w:color w:val="000000"/>
          <w:sz w:val="24"/>
          <w:szCs w:val="24"/>
        </w:rPr>
        <w:t>If, at any point during the Call-Off Contract Period, there is a Tax Compliance Failure, the Supplier shall:</w:t>
      </w:r>
    </w:p>
    <w:p w14:paraId="5F98CE58"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11" w:name="_heading=h.17dp8vu" w:colFirst="0" w:colLast="0"/>
      <w:bookmarkEnd w:id="11"/>
      <w:r>
        <w:rPr>
          <w:rFonts w:ascii="Arial" w:eastAsia="Arial" w:hAnsi="Arial" w:cs="Arial"/>
          <w:color w:val="000000"/>
          <w:sz w:val="24"/>
          <w:szCs w:val="24"/>
        </w:rPr>
        <w:t>notify the Buyer in writing within five (5) Working Days of its occurrence; and</w:t>
      </w:r>
    </w:p>
    <w:p w14:paraId="5F98CE59"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12" w:name="_heading=h.3rdcrjn" w:colFirst="0" w:colLast="0"/>
      <w:bookmarkEnd w:id="12"/>
      <w:r>
        <w:rPr>
          <w:rFonts w:ascii="Arial" w:eastAsia="Arial" w:hAnsi="Arial" w:cs="Arial"/>
          <w:color w:val="000000"/>
          <w:sz w:val="24"/>
          <w:szCs w:val="24"/>
        </w:rPr>
        <w:t>promptly provide to the Buyer:</w:t>
      </w:r>
    </w:p>
    <w:p w14:paraId="5F98CE5A"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details of the steps which the Supplier is taking to resolve the Tax Compliance Failure and to prevent it from recurring, together with any mitigating factors that it considers relevant; and </w:t>
      </w:r>
    </w:p>
    <w:p w14:paraId="5F98CE5B"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such other information in relation to the Tax Compliance Failure as the Buyer may reasonably require.</w:t>
      </w:r>
    </w:p>
    <w:p w14:paraId="5F98CE5C" w14:textId="77777777" w:rsidR="003615F9" w:rsidRDefault="00154536">
      <w:pPr>
        <w:pStyle w:val="Heading2"/>
        <w:keepNext w:val="0"/>
        <w:keepLines w:val="0"/>
        <w:numPr>
          <w:ilvl w:val="1"/>
          <w:numId w:val="10"/>
        </w:numPr>
        <w:spacing w:after="240" w:line="240" w:lineRule="auto"/>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14:paraId="5F98CE5D"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lastRenderedPageBreak/>
        <w:t>Any amounts due under Paragraph 5.5 shall be paid not less than five (5) Working Days before the date upon which the Tax or other liability is payable by the Buyer.  Any amounts due under Paragraph 5.5 shall not be subject to clause 11.2 of the Core Terms.</w:t>
      </w:r>
    </w:p>
    <w:p w14:paraId="5F98CE5E"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4" w:name="_heading=h.lnxbz9" w:colFirst="0" w:colLast="0"/>
      <w:bookmarkEnd w:id="14"/>
      <w:r>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14:paraId="5F98CE5F" w14:textId="77777777" w:rsidR="003615F9" w:rsidRDefault="00154536">
      <w:pPr>
        <w:pStyle w:val="Heading2"/>
        <w:keepNext w:val="0"/>
        <w:keepLines w:val="0"/>
        <w:numPr>
          <w:ilvl w:val="1"/>
          <w:numId w:val="10"/>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the Supplier: </w:t>
      </w:r>
    </w:p>
    <w:p w14:paraId="5F98CE60"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 xml:space="preserve">fails to comply with Paragraphs 5.1, 5.4.1 and/or 5.7 this may be a material breach of the Contract; </w:t>
      </w:r>
    </w:p>
    <w:p w14:paraId="5F98CE61"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14:paraId="5F98CE62"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provide acceptable details of steps being taken and mitigating factors pursuant to Paragraph 5.4.2 this shall be a material breach of the Contract;</w:t>
      </w:r>
    </w:p>
    <w:p w14:paraId="5F98CE63" w14:textId="77777777" w:rsidR="003615F9" w:rsidRDefault="00154536">
      <w:pPr>
        <w:pStyle w:val="Heading2"/>
        <w:keepNext w:val="0"/>
        <w:keepLines w:val="0"/>
        <w:spacing w:after="240" w:line="240" w:lineRule="auto"/>
        <w:ind w:left="792"/>
        <w:jc w:val="both"/>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10.4.1 of the Core Terms applies and Clauses 10.6.1 and 10.6.2 of the Core Terms shall apply as if the Contract had been terminated under Clause 10.4.1.</w:t>
      </w:r>
    </w:p>
    <w:p w14:paraId="5F98CE64"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In addition to those circumstances listed in clause 15.2 to 15.4 of the Core Terms, the Buyer may internally share any information, including Confidential Information, which it receives under Paragraphs 5.2 to 5.4 (inclusive) and 5.7. </w:t>
      </w:r>
    </w:p>
    <w:p w14:paraId="5F98CE65"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bookmarkStart w:id="15" w:name="_heading=h.35nkun2" w:colFirst="0" w:colLast="0"/>
      <w:bookmarkEnd w:id="15"/>
      <w:r>
        <w:rPr>
          <w:rFonts w:ascii="Arial" w:eastAsia="Arial" w:hAnsi="Arial" w:cs="Arial"/>
          <w:b/>
          <w:color w:val="000000"/>
          <w:sz w:val="24"/>
          <w:szCs w:val="24"/>
        </w:rPr>
        <w:t>Use of Off-shore Tax Structures</w:t>
      </w:r>
    </w:p>
    <w:p w14:paraId="5F98CE66" w14:textId="77777777" w:rsidR="003615F9" w:rsidRDefault="00154536">
      <w:pPr>
        <w:pStyle w:val="Heading2"/>
        <w:keepNext w:val="0"/>
        <w:keepLines w:val="0"/>
        <w:numPr>
          <w:ilvl w:val="1"/>
          <w:numId w:val="10"/>
        </w:numPr>
        <w:spacing w:after="240" w:line="240" w:lineRule="auto"/>
        <w:jc w:val="both"/>
        <w:rPr>
          <w:rFonts w:ascii="Arial" w:eastAsia="Arial" w:hAnsi="Arial" w:cs="Arial"/>
          <w:b/>
          <w:color w:val="000000"/>
          <w:sz w:val="24"/>
          <w:szCs w:val="24"/>
        </w:rPr>
      </w:pPr>
      <w:bookmarkStart w:id="16" w:name="_heading=h.1ksv4uv" w:colFirst="0" w:colLast="0"/>
      <w:bookmarkEnd w:id="16"/>
      <w:r>
        <w:rPr>
          <w:rFonts w:ascii="Arial" w:eastAsia="Arial" w:hAnsi="Arial" w:cs="Arial"/>
          <w:color w:val="000000"/>
          <w:sz w:val="24"/>
          <w:szCs w:val="24"/>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p>
    <w:p w14:paraId="5F98CE67"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7" w:name="_heading=h.44sinio" w:colFirst="0" w:colLast="0"/>
      <w:bookmarkEnd w:id="17"/>
      <w:r>
        <w:rPr>
          <w:rFonts w:ascii="Arial" w:eastAsia="Arial" w:hAnsi="Arial" w:cs="Arial"/>
          <w:color w:val="000000"/>
          <w:sz w:val="24"/>
          <w:szCs w:val="24"/>
        </w:rPr>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5F98CE68"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8" w:name="_heading=h.2jxsxqh" w:colFirst="0" w:colLast="0"/>
      <w:bookmarkEnd w:id="18"/>
      <w:r>
        <w:rPr>
          <w:rFonts w:ascii="Arial" w:eastAsia="Arial" w:hAnsi="Arial" w:cs="Arial"/>
          <w:color w:val="000000"/>
          <w:sz w:val="24"/>
          <w:szCs w:val="24"/>
        </w:rPr>
        <w:t xml:space="preserve">If a Prohibited Transaction is entered into in breach of Paragraph 6.1, or circumstances arise which may result in such a breach, the Supplier and/or the Key Subcontractor (as applicable) shall discuss the situation with the Buyer. </w:t>
      </w:r>
      <w:r>
        <w:rPr>
          <w:rFonts w:ascii="Arial" w:eastAsia="Arial" w:hAnsi="Arial" w:cs="Arial"/>
          <w:color w:val="000000"/>
          <w:sz w:val="24"/>
          <w:szCs w:val="24"/>
        </w:rPr>
        <w:lastRenderedPageBreak/>
        <w:t>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p>
    <w:p w14:paraId="5F98CE69"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p>
    <w:p w14:paraId="5F98CE6A"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Data Protection and off-shoring</w:t>
      </w:r>
    </w:p>
    <w:p w14:paraId="5F98CE6B"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9" w:name="_heading=h.z337ya" w:colFirst="0" w:colLast="0"/>
      <w:bookmarkEnd w:id="19"/>
      <w:r>
        <w:rPr>
          <w:rFonts w:ascii="Arial" w:eastAsia="Arial" w:hAnsi="Arial" w:cs="Arial"/>
          <w:color w:val="000000"/>
          <w:sz w:val="24"/>
          <w:szCs w:val="24"/>
        </w:rPr>
        <w:t>The Processor shall, in relation to any Personal Data Processed in connection with its obligations under the Contract:</w:t>
      </w:r>
    </w:p>
    <w:p w14:paraId="5F98CE6C"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not transfer Personal Data outside of the United Kingdom unless the prior written consent of the Controller has been obtained and the following conditions are fulfilled:</w:t>
      </w:r>
    </w:p>
    <w:p w14:paraId="5F98CE6D"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Controller or the Processor has provided appropriate safeguards in relation to the transfer (whether in accordance with GDPR Article 46 or LED Article 37) as determined by the Controller;</w:t>
      </w:r>
    </w:p>
    <w:p w14:paraId="5F98CE6E"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Data Subject has enforceable rights and effective legal remedies;</w:t>
      </w:r>
    </w:p>
    <w:p w14:paraId="5F98CE6F"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F98CE70"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any reasonable instructions notified to it in advance by the Controller with respect to the Processing of the Personal Data;</w:t>
      </w:r>
    </w:p>
    <w:p w14:paraId="5F98CE71"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p>
    <w:p w14:paraId="5F98CE72"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567" w:hanging="567"/>
        <w:jc w:val="both"/>
        <w:rPr>
          <w:rFonts w:ascii="Arial" w:eastAsia="Arial" w:hAnsi="Arial" w:cs="Arial"/>
          <w:b/>
          <w:sz w:val="24"/>
          <w:szCs w:val="24"/>
        </w:rPr>
      </w:pPr>
      <w:bookmarkStart w:id="20" w:name="_heading=h.3j2qqm3" w:colFirst="0" w:colLast="0"/>
      <w:bookmarkEnd w:id="20"/>
      <w:r>
        <w:rPr>
          <w:rFonts w:ascii="Arial" w:eastAsia="Arial" w:hAnsi="Arial" w:cs="Arial"/>
          <w:b/>
          <w:color w:val="000000"/>
          <w:sz w:val="24"/>
          <w:szCs w:val="24"/>
        </w:rPr>
        <w:t xml:space="preserve">Commissioners for Revenue and Customs Act 2005 and related Legislation </w:t>
      </w:r>
    </w:p>
    <w:p w14:paraId="5F98CE73"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bookmarkStart w:id="21" w:name="_heading=h.1y810tw" w:colFirst="0" w:colLast="0"/>
      <w:bookmarkEnd w:id="21"/>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18 of the Commissioners for Revenue and Customs Act 2005 (“</w:t>
      </w:r>
      <w:r>
        <w:rPr>
          <w:rFonts w:ascii="Arial" w:eastAsia="Arial" w:hAnsi="Arial" w:cs="Arial"/>
          <w:b/>
          <w:color w:val="000000"/>
          <w:sz w:val="24"/>
          <w:szCs w:val="24"/>
        </w:rPr>
        <w:t>CRCA</w:t>
      </w:r>
      <w:r>
        <w:rPr>
          <w:rFonts w:ascii="Arial" w:eastAsia="Arial" w:hAnsi="Arial" w:cs="Arial"/>
          <w:color w:val="000000"/>
          <w:sz w:val="24"/>
          <w:szCs w:val="24"/>
        </w:rPr>
        <w:t xml:space="preserve">”) to maintain the confidentiality of Government </w:t>
      </w:r>
      <w:r>
        <w:rPr>
          <w:rFonts w:ascii="Arial" w:eastAsia="Arial" w:hAnsi="Arial" w:cs="Arial"/>
          <w:color w:val="000000"/>
          <w:sz w:val="24"/>
          <w:szCs w:val="24"/>
        </w:rPr>
        <w:lastRenderedPageBreak/>
        <w:t xml:space="preserve">Data.  Further, the Supplier acknowledges that (without prejudice to any other rights and remedies of the Buyer) a breach of those obligations may lead to a prosecution under Section 19 of CRCA. </w:t>
      </w:r>
    </w:p>
    <w:p w14:paraId="5F98CE74"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Pr>
          <w:i/>
          <w:color w:val="000000"/>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14:paraId="5F98CE75"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p>
    <w:p w14:paraId="5F98CE76"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p>
    <w:p w14:paraId="5F98CE77"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p>
    <w:p w14:paraId="5F98CE78"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 xml:space="preserve">In the event that the Supplier or the Supplier Staff fail to comply with this Paragraph 8, the Buyer reserves the right to terminate the Contract as if that failure to comply were an event to which clause 10.4.1 of the Core Terms applies. </w:t>
      </w:r>
    </w:p>
    <w:p w14:paraId="5F98CE79" w14:textId="77777777" w:rsidR="003615F9" w:rsidRDefault="00154536">
      <w:pPr>
        <w:spacing w:after="240" w:line="240" w:lineRule="auto"/>
        <w:jc w:val="center"/>
        <w:rPr>
          <w:rFonts w:ascii="Arial" w:eastAsia="Arial" w:hAnsi="Arial" w:cs="Arial"/>
          <w:b/>
          <w:sz w:val="24"/>
          <w:szCs w:val="24"/>
        </w:rPr>
      </w:pPr>
      <w:r>
        <w:br w:type="page"/>
      </w:r>
      <w:r>
        <w:rPr>
          <w:rFonts w:ascii="Arial" w:eastAsia="Arial" w:hAnsi="Arial" w:cs="Arial"/>
          <w:b/>
          <w:sz w:val="24"/>
          <w:szCs w:val="24"/>
        </w:rPr>
        <w:lastRenderedPageBreak/>
        <w:t>Annex 1</w:t>
      </w:r>
    </w:p>
    <w:p w14:paraId="5F98CE7A" w14:textId="77777777" w:rsidR="003615F9" w:rsidRDefault="00154536">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14:paraId="5F98CE7B"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14:paraId="5F98CE7C" w14:textId="77777777" w:rsidR="003615F9" w:rsidRDefault="003615F9">
      <w:pPr>
        <w:pBdr>
          <w:top w:val="nil"/>
          <w:left w:val="nil"/>
          <w:bottom w:val="nil"/>
          <w:right w:val="nil"/>
          <w:between w:val="nil"/>
        </w:pBdr>
        <w:spacing w:after="240" w:line="240" w:lineRule="auto"/>
        <w:jc w:val="both"/>
        <w:rPr>
          <w:rFonts w:ascii="Arial" w:eastAsia="Arial" w:hAnsi="Arial" w:cs="Arial"/>
          <w:color w:val="000000"/>
          <w:sz w:val="24"/>
          <w:szCs w:val="24"/>
        </w:rPr>
      </w:pPr>
    </w:p>
    <w:p w14:paraId="5F98CE7D" w14:textId="77777777" w:rsidR="003615F9" w:rsidRDefault="00154536">
      <w:pPr>
        <w:numPr>
          <w:ilvl w:val="0"/>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14:paraId="5F98CE7E" w14:textId="77777777" w:rsidR="003615F9" w:rsidRDefault="003615F9">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14:paraId="5F98CE7F" w14:textId="77777777" w:rsidR="003615F9" w:rsidRDefault="00154536">
      <w:pPr>
        <w:numPr>
          <w:ilvl w:val="0"/>
          <w:numId w:val="1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14:paraId="5F98CE80" w14:textId="77777777" w:rsidR="003615F9" w:rsidRDefault="00154536">
      <w:pPr>
        <w:numPr>
          <w:ilvl w:val="0"/>
          <w:numId w:val="1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2"/>
      </w:r>
      <w:r>
        <w:rPr>
          <w:rFonts w:ascii="Arial" w:eastAsia="Arial" w:hAnsi="Arial" w:cs="Arial"/>
          <w:color w:val="000000"/>
          <w:sz w:val="24"/>
          <w:szCs w:val="24"/>
        </w:rPr>
        <w:t>;</w:t>
      </w:r>
    </w:p>
    <w:p w14:paraId="5F98CE81" w14:textId="77777777" w:rsidR="003615F9" w:rsidRDefault="00154536">
      <w:pPr>
        <w:numPr>
          <w:ilvl w:val="0"/>
          <w:numId w:val="1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Any director, shareholder or other person (P) which exercises control over EOS. ‘Control’ means P can secure, through holding of shares or powers under articles of association or other document that EOS’s affairs are conducted in accordance with P’s wishes.</w:t>
      </w:r>
    </w:p>
    <w:p w14:paraId="5F98CE82"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5F98CE83"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two (Arrangements involving evasion, abuse or tax avoidance)</w:t>
      </w:r>
    </w:p>
    <w:p w14:paraId="5F98CE84" w14:textId="77777777" w:rsidR="003615F9" w:rsidRDefault="00154536">
      <w:pPr>
        <w:numPr>
          <w:ilvl w:val="0"/>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14:paraId="5F98CE85" w14:textId="77777777" w:rsidR="003615F9" w:rsidRDefault="003615F9">
      <w:pPr>
        <w:pBdr>
          <w:top w:val="nil"/>
          <w:left w:val="nil"/>
          <w:bottom w:val="nil"/>
          <w:right w:val="nil"/>
          <w:between w:val="nil"/>
        </w:pBdr>
        <w:spacing w:after="240" w:line="240" w:lineRule="auto"/>
        <w:jc w:val="both"/>
        <w:rPr>
          <w:rFonts w:ascii="Arial" w:eastAsia="Arial" w:hAnsi="Arial" w:cs="Arial"/>
          <w:color w:val="000000"/>
          <w:sz w:val="24"/>
          <w:szCs w:val="24"/>
        </w:rPr>
      </w:pPr>
    </w:p>
    <w:p w14:paraId="5F98CE86"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14:paraId="5F98CE87"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14:paraId="5F98CE88"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14:paraId="5F98CE89"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lastRenderedPageBreak/>
        <w:t>Entered into arrangements caught by a DOTAS or VADR scheme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w:t>
      </w:r>
    </w:p>
    <w:p w14:paraId="5F98CE8A"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a recognised ‘anti-avoidance rule’</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5F98CE8B"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an avoidance scheme identified by HMRC’s published Spotlights list</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w:t>
      </w:r>
    </w:p>
    <w:p w14:paraId="5F98CE8C"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Engaged in conduct which falls under rules in other jurisdictions which are equivalent or similar to (a) to (f) above.</w:t>
      </w:r>
    </w:p>
    <w:p w14:paraId="5F98CE8D"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14:paraId="5F98CE8E" w14:textId="77777777" w:rsidR="003615F9" w:rsidRDefault="00154536">
      <w:pPr>
        <w:numPr>
          <w:ilvl w:val="0"/>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14:paraId="5F98CE8F" w14:textId="77777777" w:rsidR="003615F9" w:rsidRDefault="003615F9">
      <w:pPr>
        <w:pBdr>
          <w:top w:val="nil"/>
          <w:left w:val="nil"/>
          <w:bottom w:val="nil"/>
          <w:right w:val="nil"/>
          <w:between w:val="nil"/>
        </w:pBdr>
        <w:spacing w:after="240" w:line="240" w:lineRule="auto"/>
        <w:ind w:firstLine="60"/>
        <w:rPr>
          <w:rFonts w:ascii="Arial" w:eastAsia="Arial" w:hAnsi="Arial" w:cs="Arial"/>
          <w:color w:val="000000"/>
          <w:sz w:val="24"/>
          <w:szCs w:val="24"/>
        </w:rPr>
      </w:pPr>
    </w:p>
    <w:p w14:paraId="5F98CE90"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14:paraId="5F98CE91" w14:textId="77777777" w:rsidR="003615F9" w:rsidRDefault="00154536">
      <w:pPr>
        <w:numPr>
          <w:ilvl w:val="2"/>
          <w:numId w:val="14"/>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9"/>
      </w:r>
      <w:r>
        <w:rPr>
          <w:rFonts w:ascii="Arial" w:eastAsia="Arial" w:hAnsi="Arial" w:cs="Arial"/>
          <w:color w:val="000000"/>
          <w:sz w:val="24"/>
          <w:szCs w:val="24"/>
        </w:rPr>
        <w:t>; or,</w:t>
      </w:r>
    </w:p>
    <w:p w14:paraId="5F98CE92" w14:textId="77777777" w:rsidR="003615F9" w:rsidRDefault="00154536">
      <w:pPr>
        <w:numPr>
          <w:ilvl w:val="2"/>
          <w:numId w:val="14"/>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14:paraId="5F98CE93"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Pr>
          <w:rFonts w:ascii="Arial" w:eastAsia="Arial" w:hAnsi="Arial" w:cs="Arial"/>
          <w:color w:val="000000"/>
          <w:sz w:val="24"/>
          <w:szCs w:val="24"/>
        </w:rPr>
        <w:lastRenderedPageBreak/>
        <w:t>would be excluded merely because they are applying for judicial review of an HMRC or HMT decision relating to tax or national insurance.</w:t>
      </w:r>
    </w:p>
    <w:p w14:paraId="5F98CE94"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during an HMRC enquiry, if it has been agreed between HMRC and X that there is a pause with the enquiry in order to await the outcome of related litigation.</w:t>
      </w:r>
    </w:p>
    <w:p w14:paraId="5F98CE95"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(f) this condition is satisfied without any further steps being taken.</w:t>
      </w:r>
    </w:p>
    <w:p w14:paraId="5F98CE96"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(g) the foreign equivalent to each of the corresponding steps set out above in (i) to (iii).</w:t>
      </w:r>
    </w:p>
    <w:p w14:paraId="5F98CE97"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5F98CE98" w14:textId="77777777" w:rsidR="003615F9" w:rsidRDefault="00154536">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14:paraId="5F98CE99" w14:textId="77777777" w:rsidR="003615F9" w:rsidRDefault="00154536">
      <w:pPr>
        <w:spacing w:after="240" w:line="240" w:lineRule="auto"/>
        <w:rPr>
          <w:rFonts w:ascii="Arial" w:eastAsia="Arial" w:hAnsi="Arial" w:cs="Arial"/>
          <w:sz w:val="24"/>
          <w:szCs w:val="24"/>
        </w:rPr>
      </w:pPr>
      <w:r>
        <w:br w:type="page"/>
      </w:r>
    </w:p>
    <w:p w14:paraId="5F98CE9A" w14:textId="77777777" w:rsidR="003615F9" w:rsidRDefault="00154536">
      <w:pPr>
        <w:spacing w:after="240" w:line="240" w:lineRule="auto"/>
        <w:jc w:val="center"/>
        <w:rPr>
          <w:rFonts w:ascii="Arial" w:eastAsia="Arial" w:hAnsi="Arial" w:cs="Arial"/>
          <w:b/>
          <w:sz w:val="24"/>
          <w:szCs w:val="24"/>
        </w:rPr>
      </w:pPr>
      <w:r>
        <w:rPr>
          <w:rFonts w:ascii="Arial" w:eastAsia="Arial" w:hAnsi="Arial" w:cs="Arial"/>
          <w:b/>
          <w:sz w:val="24"/>
          <w:szCs w:val="24"/>
        </w:rPr>
        <w:lastRenderedPageBreak/>
        <w:t xml:space="preserve">Annex 2 Form </w:t>
      </w:r>
    </w:p>
    <w:p w14:paraId="5F98CE9B" w14:textId="77777777" w:rsidR="003615F9" w:rsidRDefault="00154536">
      <w:pPr>
        <w:spacing w:after="240" w:line="240" w:lineRule="auto"/>
        <w:jc w:val="center"/>
        <w:rPr>
          <w:rFonts w:ascii="Arial" w:eastAsia="Arial" w:hAnsi="Arial" w:cs="Arial"/>
          <w:b/>
          <w:sz w:val="24"/>
          <w:szCs w:val="24"/>
        </w:rPr>
      </w:pPr>
      <w:r>
        <w:rPr>
          <w:rFonts w:ascii="Arial" w:eastAsia="Arial" w:hAnsi="Arial" w:cs="Arial"/>
          <w:b/>
          <w:sz w:val="24"/>
          <w:szCs w:val="24"/>
        </w:rPr>
        <w:t xml:space="preserve">CONFIDENTIALITY DECLARATION </w:t>
      </w:r>
    </w:p>
    <w:p w14:paraId="5F98CE9C"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Supplier to insert Contract reference number and contract date</w:t>
      </w:r>
      <w:r>
        <w:rPr>
          <w:rFonts w:ascii="Arial" w:eastAsia="Arial" w:hAnsi="Arial" w:cs="Arial"/>
          <w:sz w:val="24"/>
          <w:szCs w:val="24"/>
        </w:rPr>
        <w:t>] ((‘the Agreement’)</w:t>
      </w:r>
    </w:p>
    <w:p w14:paraId="5F98CE9D"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DECLARATION:</w:t>
      </w:r>
    </w:p>
    <w:p w14:paraId="5F98CE9E"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14:paraId="5F98CE9F" w14:textId="77777777" w:rsidR="003615F9" w:rsidRDefault="00154536">
      <w:pPr>
        <w:numPr>
          <w:ilvl w:val="0"/>
          <w:numId w:val="12"/>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Commissioners for Revenue and Customs Act 2005 applies to Government Data (as defined in the Agreement) that has been or will be provided to me in accordance with the Agreement.</w:t>
      </w:r>
    </w:p>
    <w:p w14:paraId="5F98CEA0" w14:textId="77777777" w:rsidR="003615F9" w:rsidRDefault="00154536">
      <w:pPr>
        <w:numPr>
          <w:ilvl w:val="0"/>
          <w:numId w:val="12"/>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 xml:space="preserve">I understand and acknowledge that under Section 19 of the Commissioners for Revenue and Customs Act 2005 it may be a criminal offence to disclose any Government Data provided to me. </w:t>
      </w:r>
    </w:p>
    <w:p w14:paraId="5F98CEA1" w14:textId="77777777" w:rsidR="003615F9" w:rsidRDefault="003615F9">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W w:w="56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3615F9" w14:paraId="5F98CEA3" w14:textId="77777777">
        <w:tc>
          <w:tcPr>
            <w:tcW w:w="5670" w:type="dxa"/>
          </w:tcPr>
          <w:p w14:paraId="5F98CEA2" w14:textId="77777777" w:rsidR="003615F9" w:rsidRDefault="00154536">
            <w:pPr>
              <w:spacing w:after="240"/>
              <w:rPr>
                <w:rFonts w:ascii="Arial" w:eastAsia="Arial" w:hAnsi="Arial" w:cs="Arial"/>
                <w:sz w:val="24"/>
                <w:szCs w:val="24"/>
              </w:rPr>
            </w:pPr>
            <w:r>
              <w:rPr>
                <w:rFonts w:ascii="Arial" w:eastAsia="Arial" w:hAnsi="Arial" w:cs="Arial"/>
                <w:sz w:val="24"/>
                <w:szCs w:val="24"/>
              </w:rPr>
              <w:t>SIGNED:</w:t>
            </w:r>
          </w:p>
        </w:tc>
      </w:tr>
      <w:tr w:rsidR="003615F9" w14:paraId="5F98CEA5" w14:textId="77777777">
        <w:tc>
          <w:tcPr>
            <w:tcW w:w="5670" w:type="dxa"/>
          </w:tcPr>
          <w:p w14:paraId="5F98CEA4" w14:textId="77777777" w:rsidR="003615F9" w:rsidRDefault="00154536">
            <w:pPr>
              <w:spacing w:after="240"/>
              <w:rPr>
                <w:rFonts w:ascii="Arial" w:eastAsia="Arial" w:hAnsi="Arial" w:cs="Arial"/>
                <w:sz w:val="24"/>
                <w:szCs w:val="24"/>
              </w:rPr>
            </w:pPr>
            <w:r>
              <w:rPr>
                <w:rFonts w:ascii="Arial" w:eastAsia="Arial" w:hAnsi="Arial" w:cs="Arial"/>
                <w:sz w:val="24"/>
                <w:szCs w:val="24"/>
              </w:rPr>
              <w:t>FULL NAME:</w:t>
            </w:r>
          </w:p>
        </w:tc>
      </w:tr>
      <w:tr w:rsidR="003615F9" w14:paraId="5F98CEA7" w14:textId="77777777">
        <w:tc>
          <w:tcPr>
            <w:tcW w:w="5670" w:type="dxa"/>
          </w:tcPr>
          <w:p w14:paraId="5F98CEA6" w14:textId="77777777" w:rsidR="003615F9" w:rsidRDefault="00154536">
            <w:pPr>
              <w:spacing w:after="240"/>
              <w:rPr>
                <w:rFonts w:ascii="Arial" w:eastAsia="Arial" w:hAnsi="Arial" w:cs="Arial"/>
                <w:sz w:val="24"/>
                <w:szCs w:val="24"/>
              </w:rPr>
            </w:pPr>
            <w:r>
              <w:rPr>
                <w:rFonts w:ascii="Arial" w:eastAsia="Arial" w:hAnsi="Arial" w:cs="Arial"/>
                <w:sz w:val="24"/>
                <w:szCs w:val="24"/>
              </w:rPr>
              <w:t>POSITION:</w:t>
            </w:r>
          </w:p>
        </w:tc>
      </w:tr>
      <w:tr w:rsidR="003615F9" w14:paraId="5F98CEA9" w14:textId="77777777">
        <w:tc>
          <w:tcPr>
            <w:tcW w:w="5670" w:type="dxa"/>
          </w:tcPr>
          <w:p w14:paraId="5F98CEA8" w14:textId="77777777" w:rsidR="003615F9" w:rsidRDefault="00154536">
            <w:pPr>
              <w:spacing w:after="240"/>
              <w:rPr>
                <w:rFonts w:ascii="Arial" w:eastAsia="Arial" w:hAnsi="Arial" w:cs="Arial"/>
                <w:sz w:val="24"/>
                <w:szCs w:val="24"/>
              </w:rPr>
            </w:pPr>
            <w:r>
              <w:rPr>
                <w:rFonts w:ascii="Arial" w:eastAsia="Arial" w:hAnsi="Arial" w:cs="Arial"/>
                <w:sz w:val="24"/>
                <w:szCs w:val="24"/>
              </w:rPr>
              <w:t xml:space="preserve">COMPANY: </w:t>
            </w:r>
          </w:p>
        </w:tc>
      </w:tr>
      <w:tr w:rsidR="003615F9" w14:paraId="5F98CEAB" w14:textId="77777777">
        <w:tc>
          <w:tcPr>
            <w:tcW w:w="5670" w:type="dxa"/>
          </w:tcPr>
          <w:p w14:paraId="5F98CEAA" w14:textId="77777777" w:rsidR="003615F9" w:rsidRDefault="00154536">
            <w:pPr>
              <w:spacing w:after="240"/>
              <w:rPr>
                <w:rFonts w:ascii="Arial" w:eastAsia="Arial" w:hAnsi="Arial" w:cs="Arial"/>
                <w:sz w:val="24"/>
                <w:szCs w:val="24"/>
              </w:rPr>
            </w:pPr>
            <w:r>
              <w:rPr>
                <w:rFonts w:ascii="Arial" w:eastAsia="Arial" w:hAnsi="Arial" w:cs="Arial"/>
                <w:sz w:val="24"/>
                <w:szCs w:val="24"/>
              </w:rPr>
              <w:t xml:space="preserve">DATE OF SIGNITURE: </w:t>
            </w:r>
          </w:p>
        </w:tc>
      </w:tr>
    </w:tbl>
    <w:p w14:paraId="5F98CEAC" w14:textId="77777777" w:rsidR="003615F9" w:rsidRDefault="003615F9">
      <w:pPr>
        <w:spacing w:after="240" w:line="240" w:lineRule="auto"/>
        <w:rPr>
          <w:rFonts w:ascii="Arial" w:eastAsia="Arial" w:hAnsi="Arial" w:cs="Arial"/>
          <w:sz w:val="24"/>
          <w:szCs w:val="24"/>
        </w:rPr>
      </w:pPr>
    </w:p>
    <w:p w14:paraId="5F98CEAD" w14:textId="77777777" w:rsidR="003615F9" w:rsidRDefault="003615F9">
      <w:pPr>
        <w:spacing w:after="240" w:line="240" w:lineRule="auto"/>
        <w:rPr>
          <w:rFonts w:ascii="Arial" w:eastAsia="Arial" w:hAnsi="Arial" w:cs="Arial"/>
          <w:sz w:val="24"/>
          <w:szCs w:val="24"/>
        </w:rPr>
      </w:pPr>
    </w:p>
    <w:p w14:paraId="5F98CEAE" w14:textId="77777777" w:rsidR="003615F9" w:rsidRDefault="003615F9">
      <w:pPr>
        <w:spacing w:after="240" w:line="240" w:lineRule="auto"/>
        <w:rPr>
          <w:rFonts w:ascii="Arial" w:eastAsia="Arial" w:hAnsi="Arial" w:cs="Arial"/>
          <w:sz w:val="24"/>
          <w:szCs w:val="24"/>
        </w:rPr>
      </w:pPr>
    </w:p>
    <w:p w14:paraId="5F98CEAF" w14:textId="77777777" w:rsidR="003615F9" w:rsidRDefault="003615F9">
      <w:pPr>
        <w:spacing w:after="240" w:line="240" w:lineRule="auto"/>
        <w:jc w:val="right"/>
      </w:pPr>
    </w:p>
    <w:sectPr w:rsidR="003615F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813B2" w14:textId="77777777" w:rsidR="00BF2908" w:rsidRDefault="00BF2908">
      <w:pPr>
        <w:spacing w:after="0" w:line="240" w:lineRule="auto"/>
      </w:pPr>
      <w:r>
        <w:separator/>
      </w:r>
    </w:p>
  </w:endnote>
  <w:endnote w:type="continuationSeparator" w:id="0">
    <w:p w14:paraId="36F31374" w14:textId="77777777" w:rsidR="00BF2908" w:rsidRDefault="00BF2908">
      <w:pPr>
        <w:spacing w:after="0" w:line="240" w:lineRule="auto"/>
      </w:pPr>
      <w:r>
        <w:continuationSeparator/>
      </w:r>
    </w:p>
  </w:endnote>
  <w:endnote w:type="continuationNotice" w:id="1">
    <w:p w14:paraId="361EE7E5" w14:textId="77777777" w:rsidR="00BF2908" w:rsidRDefault="00BF2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Microsoft YaHei"/>
    <w:panose1 w:val="00000000000000000000"/>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CEB2" w14:textId="5B23B01B" w:rsidR="0032510B" w:rsidRDefault="0032510B">
    <w:pPr>
      <w:pBdr>
        <w:top w:val="nil"/>
        <w:left w:val="nil"/>
        <w:bottom w:val="nil"/>
        <w:right w:val="nil"/>
        <w:between w:val="nil"/>
      </w:pBdr>
      <w:tabs>
        <w:tab w:val="center" w:pos="4513"/>
        <w:tab w:val="right" w:pos="9026"/>
      </w:tabs>
      <w:spacing w:after="0" w:line="240" w:lineRule="auto"/>
      <w:rPr>
        <w:color w:val="000000"/>
      </w:rPr>
    </w:pPr>
  </w:p>
  <w:p w14:paraId="58F13CB7" w14:textId="76C81ADB" w:rsidR="00154536" w:rsidRDefault="00154536">
    <w:pPr>
      <w:pBdr>
        <w:top w:val="nil"/>
        <w:left w:val="nil"/>
        <w:bottom w:val="nil"/>
        <w:right w:val="nil"/>
        <w:between w:val="nil"/>
      </w:pBdr>
      <w:tabs>
        <w:tab w:val="center" w:pos="4513"/>
        <w:tab w:val="right" w:pos="9026"/>
      </w:tabs>
      <w:spacing w:after="0" w:line="240" w:lineRule="auto"/>
      <w:jc w:val="center"/>
      <w:rPr>
        <w:color w:val="000000"/>
      </w:rPr>
    </w:pPr>
  </w:p>
  <w:p w14:paraId="22F04217" w14:textId="77777777" w:rsidR="00AB4941" w:rsidRPr="00AB4941" w:rsidRDefault="00AB4941" w:rsidP="00AB4941">
    <w:pPr>
      <w:spacing w:after="0" w:line="240" w:lineRule="auto"/>
      <w:rPr>
        <w:rFonts w:ascii="Times New Roman" w:eastAsia="Times New Roman" w:hAnsi="Times New Roman" w:cs="Times New Roman"/>
        <w:sz w:val="24"/>
        <w:szCs w:val="24"/>
      </w:rPr>
    </w:pPr>
    <w:r w:rsidRPr="00AB4941">
      <w:rPr>
        <w:rFonts w:ascii="Arial" w:eastAsia="Times New Roman" w:hAnsi="Arial" w:cs="Arial"/>
        <w:color w:val="000000"/>
        <w:sz w:val="20"/>
        <w:szCs w:val="20"/>
      </w:rPr>
      <w:t>Framework Ref: RM6226 Debt Resolution Services</w:t>
    </w:r>
    <w:r w:rsidRPr="00AB4941">
      <w:rPr>
        <w:rFonts w:ascii="Arial" w:eastAsia="Times New Roman" w:hAnsi="Arial" w:cs="Arial"/>
        <w:color w:val="000000"/>
        <w:sz w:val="20"/>
        <w:szCs w:val="20"/>
      </w:rPr>
      <w:tab/>
      <w:t>                                           </w:t>
    </w:r>
  </w:p>
  <w:p w14:paraId="7624352F" w14:textId="0ABCF851" w:rsidR="00AB4941" w:rsidRPr="00AB4941" w:rsidRDefault="00AB4941" w:rsidP="00AB4941">
    <w:pPr>
      <w:spacing w:after="0" w:line="240" w:lineRule="auto"/>
      <w:rPr>
        <w:rFonts w:ascii="Times New Roman" w:eastAsia="Times New Roman" w:hAnsi="Times New Roman" w:cs="Times New Roman"/>
        <w:sz w:val="24"/>
        <w:szCs w:val="24"/>
      </w:rPr>
    </w:pPr>
    <w:r w:rsidRPr="00AB4941">
      <w:rPr>
        <w:rFonts w:ascii="Arial" w:eastAsia="Times New Roman" w:hAnsi="Arial" w:cs="Arial"/>
        <w:color w:val="000000"/>
        <w:sz w:val="20"/>
        <w:szCs w:val="20"/>
      </w:rPr>
      <w:t>Project Version: v1.0</w:t>
    </w:r>
    <w:r>
      <w:rPr>
        <w:rFonts w:ascii="Arial" w:eastAsia="Times New Roman" w:hAnsi="Arial" w:cs="Arial"/>
        <w:color w:val="000000"/>
        <w:sz w:val="20"/>
        <w:szCs w:val="20"/>
      </w:rPr>
      <w:t xml:space="preserve"> </w:t>
    </w:r>
  </w:p>
  <w:p w14:paraId="66193B31" w14:textId="77777777" w:rsidR="00AB4941" w:rsidRPr="00AB4941" w:rsidRDefault="00AB4941" w:rsidP="00AB4941">
    <w:pPr>
      <w:spacing w:after="0" w:line="240" w:lineRule="auto"/>
      <w:rPr>
        <w:rFonts w:ascii="Times New Roman" w:eastAsia="Times New Roman" w:hAnsi="Times New Roman" w:cs="Times New Roman"/>
        <w:sz w:val="24"/>
        <w:szCs w:val="24"/>
      </w:rPr>
    </w:pPr>
    <w:r w:rsidRPr="00AB4941">
      <w:rPr>
        <w:rFonts w:ascii="Arial" w:eastAsia="Times New Roman" w:hAnsi="Arial" w:cs="Arial"/>
        <w:color w:val="000000"/>
        <w:sz w:val="20"/>
        <w:szCs w:val="20"/>
      </w:rPr>
      <w:t>Model Version: v3.</w:t>
    </w:r>
  </w:p>
  <w:p w14:paraId="39B30FB3" w14:textId="77777777" w:rsidR="00154536" w:rsidRDefault="00154536" w:rsidP="00AB494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5E961" w14:textId="77777777" w:rsidR="00BF2908" w:rsidRDefault="00BF2908">
      <w:pPr>
        <w:spacing w:after="0" w:line="240" w:lineRule="auto"/>
      </w:pPr>
      <w:r>
        <w:separator/>
      </w:r>
    </w:p>
  </w:footnote>
  <w:footnote w:type="continuationSeparator" w:id="0">
    <w:p w14:paraId="51F2FC4D" w14:textId="77777777" w:rsidR="00BF2908" w:rsidRDefault="00BF2908">
      <w:pPr>
        <w:spacing w:after="0" w:line="240" w:lineRule="auto"/>
      </w:pPr>
      <w:r>
        <w:continuationSeparator/>
      </w:r>
    </w:p>
  </w:footnote>
  <w:footnote w:type="continuationNotice" w:id="1">
    <w:p w14:paraId="504BDEB8" w14:textId="77777777" w:rsidR="00BF2908" w:rsidRDefault="00BF2908">
      <w:pPr>
        <w:spacing w:after="0" w:line="240" w:lineRule="auto"/>
      </w:pPr>
    </w:p>
  </w:footnote>
  <w:footnote w:id="2">
    <w:p w14:paraId="5F98CEB3" w14:textId="77777777" w:rsidR="00154536" w:rsidRDefault="001545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3">
    <w:p w14:paraId="5F98CEB4" w14:textId="77777777" w:rsidR="00154536" w:rsidRDefault="001545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5F98CEB5"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5F98CEB6" w14:textId="77777777" w:rsidR="00154536" w:rsidRDefault="00154536">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14:paraId="5F98CEB7" w14:textId="77777777" w:rsidR="00154536" w:rsidRDefault="00154536">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5">
    <w:p w14:paraId="5F98CEB8" w14:textId="77777777" w:rsidR="00154536" w:rsidRDefault="001545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6">
    <w:p w14:paraId="5F98CEB9"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5F98CEBA"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8">
    <w:p w14:paraId="5F98CEBB"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r>
        <w:rPr>
          <w:color w:val="000000"/>
          <w:sz w:val="20"/>
          <w:szCs w:val="20"/>
        </w:rPr>
        <w:t xml:space="preserve">  </w:t>
      </w:r>
    </w:p>
  </w:footnote>
  <w:footnote w:id="9">
    <w:p w14:paraId="5F98CEBC"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CEB0" w14:textId="77777777" w:rsidR="00154536" w:rsidRDefault="0015453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B60"/>
    <w:multiLevelType w:val="multilevel"/>
    <w:tmpl w:val="241CC6F0"/>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254195"/>
    <w:multiLevelType w:val="multilevel"/>
    <w:tmpl w:val="4566EB68"/>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39717E"/>
    <w:multiLevelType w:val="multilevel"/>
    <w:tmpl w:val="68FA9E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A7B68"/>
    <w:multiLevelType w:val="multilevel"/>
    <w:tmpl w:val="1B169F50"/>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6ED37CD"/>
    <w:multiLevelType w:val="multilevel"/>
    <w:tmpl w:val="050851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5B2ED9"/>
    <w:multiLevelType w:val="multilevel"/>
    <w:tmpl w:val="EA0ED3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AF634E"/>
    <w:multiLevelType w:val="multilevel"/>
    <w:tmpl w:val="F0AEDF6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7" w15:restartNumberingAfterBreak="0">
    <w:nsid w:val="281616EF"/>
    <w:multiLevelType w:val="multilevel"/>
    <w:tmpl w:val="FACAC034"/>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217D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C5718B"/>
    <w:multiLevelType w:val="multilevel"/>
    <w:tmpl w:val="4D8089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BA750E"/>
    <w:multiLevelType w:val="multilevel"/>
    <w:tmpl w:val="C66E0CE8"/>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413421D9"/>
    <w:multiLevelType w:val="multilevel"/>
    <w:tmpl w:val="68D8A7A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F792B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DD5FC1"/>
    <w:multiLevelType w:val="multilevel"/>
    <w:tmpl w:val="58F649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F1E520C"/>
    <w:multiLevelType w:val="multilevel"/>
    <w:tmpl w:val="BC94EA80"/>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5" w15:restartNumberingAfterBreak="0">
    <w:nsid w:val="68A83DD8"/>
    <w:multiLevelType w:val="multilevel"/>
    <w:tmpl w:val="9BC67DDC"/>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C9410FA"/>
    <w:multiLevelType w:val="multilevel"/>
    <w:tmpl w:val="1638A81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CC0443"/>
    <w:multiLevelType w:val="multilevel"/>
    <w:tmpl w:val="47C259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
  </w:num>
  <w:num w:numId="3">
    <w:abstractNumId w:val="16"/>
  </w:num>
  <w:num w:numId="4">
    <w:abstractNumId w:val="15"/>
  </w:num>
  <w:num w:numId="5">
    <w:abstractNumId w:val="0"/>
  </w:num>
  <w:num w:numId="6">
    <w:abstractNumId w:val="12"/>
  </w:num>
  <w:num w:numId="7">
    <w:abstractNumId w:val="17"/>
  </w:num>
  <w:num w:numId="8">
    <w:abstractNumId w:val="14"/>
  </w:num>
  <w:num w:numId="9">
    <w:abstractNumId w:val="13"/>
  </w:num>
  <w:num w:numId="10">
    <w:abstractNumId w:val="1"/>
  </w:num>
  <w:num w:numId="11">
    <w:abstractNumId w:val="9"/>
  </w:num>
  <w:num w:numId="12">
    <w:abstractNumId w:val="5"/>
  </w:num>
  <w:num w:numId="13">
    <w:abstractNumId w:val="10"/>
  </w:num>
  <w:num w:numId="14">
    <w:abstractNumId w:val="11"/>
  </w:num>
  <w:num w:numId="15">
    <w:abstractNumId w:val="8"/>
  </w:num>
  <w:num w:numId="16">
    <w:abstractNumId w:val="4"/>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5F9"/>
    <w:rsid w:val="00154536"/>
    <w:rsid w:val="00191C3D"/>
    <w:rsid w:val="0032510B"/>
    <w:rsid w:val="003615F9"/>
    <w:rsid w:val="00AB4941"/>
    <w:rsid w:val="00AC53AC"/>
    <w:rsid w:val="00AF4AB5"/>
    <w:rsid w:val="00BF2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CE0F"/>
  <w15:docId w15:val="{817F940B-90E3-412D-AF6B-C150B31E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18"/>
      </w:numPr>
      <w:tabs>
        <w:tab w:val="clear" w:pos="720"/>
      </w:tabs>
      <w:adjustRightInd w:val="0"/>
      <w:spacing w:before="120" w:after="240" w:line="240" w:lineRule="auto"/>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18"/>
      </w:numPr>
      <w:tabs>
        <w:tab w:val="left" w:pos="993"/>
      </w:tabs>
      <w:adjustRightInd w:val="0"/>
      <w:spacing w:before="120" w:after="120" w:line="240" w:lineRule="auto"/>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18"/>
      </w:numPr>
      <w:adjustRightInd w:val="0"/>
      <w:spacing w:before="120" w:after="120" w:line="240" w:lineRule="auto"/>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18"/>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18"/>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18"/>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18"/>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18"/>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18"/>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style>
  <w:style w:type="character" w:customStyle="1" w:styleId="apple-tab-span">
    <w:name w:val="apple-tab-span"/>
    <w:basedOn w:val="DefaultParagraphFont"/>
    <w:rsid w:val="00AB4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971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m8yLQCM/43qUqhwF13IBNTT5tw==">AMUW2mVHvBwIfgosukbT7it+omIguxJRJauq8yUCOFu0MaQHglPIyEPbYe2ImfVFXGofkUBjdY/WZqG+jkthGKXBLXOZUGGu3xrvViAzGsmlK0q+MmKwhd5KO13w/FCm4cSdPkMHw3kTGKuORvbMPRVZZmAqqW1PaCe7SzW6E2zuNDGePhsonCAZDcj38EI+V1B4DxWiVva/s7QqzTDAuzJQDvloi/pcIDo1wYMMmttVAFNxtBZo/OBWSEOGSizaBTuoBeJyYsSj28qTJ7+PGsiY4i/tLPQ0DOlIceG30SRZgDS/0Juw9Z7yPQDEVP8iqRaeS2oi4hymTHxogZ8pGsrdJLwTgdd+JID4bC4xYyZBlIpwZhf4j6yGWBTNA+UodFJ5tktmG2Ux7zQ2WxQq+DEuUIKFVoQuVVc64F0k4BRYJsVkAD/pJ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2694</Words>
  <Characters>15361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Jonathan Meah</cp:lastModifiedBy>
  <cp:revision>2</cp:revision>
  <dcterms:created xsi:type="dcterms:W3CDTF">2021-07-19T11:26:00Z</dcterms:created>
  <dcterms:modified xsi:type="dcterms:W3CDTF">2021-07-19T11:26:00Z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